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EB" w:rsidRDefault="00571F99">
      <w:pPr>
        <w:pStyle w:val="Standard"/>
        <w:spacing w:line="360" w:lineRule="auto"/>
        <w:jc w:val="center"/>
      </w:pPr>
      <w:r>
        <w:rPr>
          <w:noProof/>
          <w:lang w:eastAsia="el-GR"/>
        </w:rPr>
        <w:drawing>
          <wp:inline distT="0" distB="0" distL="0" distR="0" wp14:anchorId="4E30A1DD" wp14:editId="3ABE7ABF">
            <wp:extent cx="1438088" cy="7334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rsidR="00BF0DEB" w:rsidRDefault="00BF0DEB">
      <w:pPr>
        <w:pStyle w:val="Standard"/>
        <w:spacing w:line="360" w:lineRule="auto"/>
        <w:jc w:val="center"/>
        <w:rPr>
          <w:b/>
        </w:rPr>
      </w:pPr>
    </w:p>
    <w:p w:rsidR="00BF0DEB" w:rsidRDefault="004D5B5C">
      <w:pPr>
        <w:pStyle w:val="Standard"/>
        <w:spacing w:line="360" w:lineRule="auto"/>
        <w:jc w:val="center"/>
        <w:rPr>
          <w:b/>
        </w:rPr>
      </w:pPr>
      <w:r>
        <w:rPr>
          <w:b/>
        </w:rPr>
        <w:t>ΤΡΟΠΟΛΟΓΙΑ - ΠΡΟΣΘΗΚΗ</w:t>
      </w:r>
    </w:p>
    <w:p w:rsidR="00BF0DEB" w:rsidRDefault="00BF0DEB">
      <w:pPr>
        <w:pStyle w:val="Standard"/>
        <w:spacing w:line="360" w:lineRule="auto"/>
      </w:pPr>
    </w:p>
    <w:p w:rsidR="00BF0DEB" w:rsidRDefault="004D5B5C">
      <w:pPr>
        <w:pStyle w:val="Standard"/>
        <w:spacing w:line="360" w:lineRule="auto"/>
      </w:pPr>
      <w:r>
        <w:rPr>
          <w:b/>
        </w:rPr>
        <w:t xml:space="preserve">Στο Σ/ν του Υπουργείου Δικαιοσύνης </w:t>
      </w:r>
      <w:r>
        <w:rPr>
          <w:b/>
          <w:bCs/>
        </w:rPr>
        <w:t>«Τροποποιήσεις Ποινικού Κώδικα, Κώδικα Ποινικής Δικονομίας και συναφείς διατάξεις»</w:t>
      </w:r>
    </w:p>
    <w:p w:rsidR="00BF0DEB" w:rsidRDefault="00BF0DEB">
      <w:pPr>
        <w:pStyle w:val="Standard"/>
        <w:spacing w:line="360" w:lineRule="auto"/>
        <w:rPr>
          <w:b/>
          <w:bCs/>
        </w:rPr>
      </w:pPr>
    </w:p>
    <w:p w:rsidR="00BF0DEB" w:rsidRDefault="004D5B5C">
      <w:pPr>
        <w:pStyle w:val="Standard"/>
        <w:spacing w:line="360" w:lineRule="auto"/>
        <w:rPr>
          <w:b/>
        </w:rPr>
      </w:pPr>
      <w:r>
        <w:rPr>
          <w:b/>
        </w:rPr>
        <w:t>Θέμα: Κατάργηση του “τρομονόμου” (άρθρο</w:t>
      </w:r>
      <w:r>
        <w:rPr>
          <w:b/>
        </w:rPr>
        <w:t xml:space="preserve"> 187Α ΠΚ)</w:t>
      </w:r>
    </w:p>
    <w:p w:rsidR="00BF0DEB" w:rsidRDefault="00BF0DEB">
      <w:pPr>
        <w:pStyle w:val="Standard"/>
        <w:spacing w:line="360" w:lineRule="auto"/>
        <w:jc w:val="center"/>
        <w:rPr>
          <w:b/>
        </w:rPr>
      </w:pPr>
    </w:p>
    <w:p w:rsidR="00BF0DEB" w:rsidRDefault="004D5B5C">
      <w:pPr>
        <w:pStyle w:val="Standard"/>
        <w:spacing w:line="360" w:lineRule="auto"/>
        <w:jc w:val="center"/>
        <w:rPr>
          <w:b/>
        </w:rPr>
      </w:pPr>
      <w:r>
        <w:rPr>
          <w:b/>
        </w:rPr>
        <w:t>Α. Αιτιολογική Έκθεση</w:t>
      </w:r>
    </w:p>
    <w:p w:rsidR="00BF0DEB" w:rsidRDefault="004D5B5C">
      <w:pPr>
        <w:pStyle w:val="Textbody"/>
        <w:spacing w:after="0" w:line="360" w:lineRule="auto"/>
        <w:jc w:val="both"/>
      </w:pPr>
      <w:r>
        <w:rPr>
          <w:rStyle w:val="a6"/>
          <w:i w:val="0"/>
          <w:color w:val="000000"/>
        </w:rPr>
        <w:tab/>
        <w:t xml:space="preserve">Οι διατάξεις του άρθρου 187Α του Ποινικού Κώδικα συνιστούν </w:t>
      </w:r>
      <w:r>
        <w:rPr>
          <w:rStyle w:val="a6"/>
          <w:i w:val="0"/>
          <w:color w:val="000000"/>
        </w:rPr>
        <w:t>στην ουσία</w:t>
      </w:r>
      <w:r>
        <w:rPr>
          <w:rStyle w:val="a6"/>
          <w:i w:val="0"/>
          <w:color w:val="000000"/>
        </w:rPr>
        <w:t xml:space="preserve"> μέσο ενίσχυσης της καταστολής και διεύρυνσης των “υπόπτων” που δυνητικά μπορεί να διαταράσσουν την “κανονικότητα” του “νόμου και της τάξης” της καθεστηκ</w:t>
      </w:r>
      <w:r>
        <w:rPr>
          <w:rStyle w:val="a6"/>
          <w:i w:val="0"/>
          <w:color w:val="000000"/>
        </w:rPr>
        <w:t>υίας αυτής τάξης, που επιβάλει με περίσσεια καταστολή την λιτότητα και τα μνημόνια στη χρεοδουλοπαροικία μας.</w:t>
      </w:r>
    </w:p>
    <w:p w:rsidR="00BF0DEB" w:rsidRDefault="004D5B5C">
      <w:pPr>
        <w:pStyle w:val="Textbody"/>
        <w:spacing w:after="0" w:line="360" w:lineRule="auto"/>
        <w:jc w:val="both"/>
      </w:pPr>
      <w:r>
        <w:rPr>
          <w:rStyle w:val="a6"/>
          <w:i w:val="0"/>
          <w:color w:val="000000"/>
        </w:rPr>
        <w:tab/>
        <w:t>Σε ένα κράτος δικαίου που αναγνωρίζει θεμελιώδη ανθρώπινα δικαιώματα χωρίς περιορισμό του πυρήνα τους δεν νοείται διάταξη που διευρύνει διασταλτι</w:t>
      </w:r>
      <w:r>
        <w:rPr>
          <w:rStyle w:val="a6"/>
          <w:i w:val="0"/>
          <w:color w:val="000000"/>
        </w:rPr>
        <w:t>κα το αξιόποινο ακόμα και πλημμεληματικών πράξεων.</w:t>
      </w:r>
    </w:p>
    <w:p w:rsidR="00BF0DEB" w:rsidRDefault="004D5B5C">
      <w:pPr>
        <w:pStyle w:val="Textbody"/>
        <w:spacing w:after="0" w:line="360" w:lineRule="auto"/>
        <w:jc w:val="both"/>
      </w:pPr>
      <w:r>
        <w:rPr>
          <w:rStyle w:val="a6"/>
          <w:i w:val="0"/>
          <w:color w:val="000000"/>
        </w:rPr>
        <w:tab/>
        <w:t>Διατάξεις που ευθέως μας παραπέμπουν στις σκοτεινές εποχές του “ιδιώνυμου” και οι οποίες χρήζουν άμεσης κατάργησης, διότι ο ποινικός νόμος ποινικοποιεί πράξεις και όχι προθέσεις ή ακόμα περίσσοτερο “πεπο</w:t>
      </w:r>
      <w:r>
        <w:rPr>
          <w:rStyle w:val="a6"/>
          <w:i w:val="0"/>
          <w:color w:val="000000"/>
        </w:rPr>
        <w:t xml:space="preserve">ιθήσεις”. Ενώ ακόμα και για εικαζόμενες “προθέσεις” δεν δύναται η ποινικοποίηση με όρους κράτους δικαίου χωρίς καν αρχή εκτέλεσης της πράξης. Παραβιάζονται βασικές αρχές του δυτικού νομικού πολιτισμού, της ποινικής επιστήμης που δεν θυσιάζει την ελευθερία </w:t>
      </w:r>
      <w:r>
        <w:rPr>
          <w:rStyle w:val="a6"/>
          <w:i w:val="0"/>
          <w:color w:val="000000"/>
        </w:rPr>
        <w:t>των πολιτών στον βωμό μιας δήθεν “ασφάλειας” πανοπτικού τύπου.</w:t>
      </w:r>
    </w:p>
    <w:p w:rsidR="00BF0DEB" w:rsidRDefault="004D5B5C">
      <w:pPr>
        <w:pStyle w:val="Textbody"/>
        <w:spacing w:after="0" w:line="360" w:lineRule="auto"/>
        <w:jc w:val="both"/>
      </w:pPr>
      <w:r>
        <w:rPr>
          <w:rStyle w:val="a6"/>
          <w:i w:val="0"/>
          <w:color w:val="000000"/>
        </w:rPr>
        <w:tab/>
        <w:t>Η διάταξη αυτή εξυπηρετεί σε τίποτα παρά μόνο την καταπάτηση βασικών δικαιωμάτων των πολιτών. Παραβιάζει βασικές ατομικές ελευθερίες, ανατρέπει το τεκμήριο αθωότητας μετατρέποντας το σε εξ ορι</w:t>
      </w:r>
      <w:r>
        <w:rPr>
          <w:rStyle w:val="a6"/>
          <w:i w:val="0"/>
          <w:color w:val="000000"/>
        </w:rPr>
        <w:t xml:space="preserve">σμού ενοχή όποιουδήποτε διαμαρτύρεται και </w:t>
      </w:r>
      <w:r>
        <w:rPr>
          <w:rStyle w:val="a6"/>
          <w:i w:val="0"/>
          <w:color w:val="000000"/>
        </w:rPr>
        <w:lastRenderedPageBreak/>
        <w:t>αντιτάσσεται στην λαίλαπα που επισυμβαίνει στη χρεοδουλοπαροικία, συρρικνώνει τις υπάρχουσες δικονομικές εγγυήσεις και προβαίνει σε απαράδεκτες  αυθαιρεσίες.</w:t>
      </w:r>
    </w:p>
    <w:p w:rsidR="00BF0DEB" w:rsidRDefault="004D5B5C">
      <w:pPr>
        <w:pStyle w:val="Textbody"/>
        <w:spacing w:after="0" w:line="360" w:lineRule="auto"/>
        <w:jc w:val="both"/>
      </w:pPr>
      <w:r>
        <w:rPr>
          <w:rStyle w:val="a6"/>
          <w:i w:val="0"/>
          <w:color w:val="000000"/>
        </w:rPr>
        <w:tab/>
        <w:t>Για τα εν λόγω σοβαρά δημοκρατικά και ζητήματα δικαιωμ</w:t>
      </w:r>
      <w:r>
        <w:rPr>
          <w:rStyle w:val="a6"/>
          <w:i w:val="0"/>
          <w:color w:val="000000"/>
        </w:rPr>
        <w:t>άτων που ανακύπτουν, για να αποφευχθούν τα σχέδια της Κυβέρνησης για επίταση της καταστολής των κοινωνικών αγώνων και του περιορισμού των ατομικών ελευθεριών των πολιτών, καταθέτουμε την κατωτέρω τροπολογία με την οποία καταργείται το άρθρο 187Α του Ποινικ</w:t>
      </w:r>
      <w:r>
        <w:rPr>
          <w:rStyle w:val="a6"/>
          <w:i w:val="0"/>
          <w:color w:val="000000"/>
        </w:rPr>
        <w:t>ού Κώδικα που συνιστά εν δυνάμει κίνδυνο για κάθε διαμαρτυρόμενο δημοκρατικό πολίτη, ο οποίος υπακούει στην ακροτελεύτεια διάταξη του άρθρου 120 του Συντάγματος.</w:t>
      </w:r>
    </w:p>
    <w:p w:rsidR="00BF0DEB" w:rsidRDefault="004D5B5C">
      <w:pPr>
        <w:pStyle w:val="Textbody"/>
        <w:spacing w:after="0" w:line="360" w:lineRule="auto"/>
        <w:jc w:val="both"/>
      </w:pPr>
      <w:r>
        <w:rPr>
          <w:rStyle w:val="a6"/>
          <w:i w:val="0"/>
          <w:color w:val="000000"/>
        </w:rPr>
        <w:tab/>
        <w:t>Εξάλλου υπάρχει η διάταξη του άρθρου 187 ΠΚ που καλύπτει τις δράσεις των εγκληματικών οργανώσ</w:t>
      </w:r>
      <w:r>
        <w:rPr>
          <w:rStyle w:val="a6"/>
          <w:i w:val="0"/>
          <w:color w:val="000000"/>
        </w:rPr>
        <w:t>εων με πληρότητα. Δεν απαιτείται καμία περαιτέρω ειδική ποινική μεταχείριση για φερόμενες “τρομοκρατικές πράξεις”.</w:t>
      </w:r>
    </w:p>
    <w:p w:rsidR="00BF0DEB" w:rsidRDefault="00BF0DEB">
      <w:pPr>
        <w:pStyle w:val="Textbody"/>
        <w:spacing w:after="0" w:line="360" w:lineRule="auto"/>
        <w:jc w:val="both"/>
      </w:pPr>
    </w:p>
    <w:p w:rsidR="00BF0DEB" w:rsidRDefault="004D5B5C">
      <w:pPr>
        <w:pStyle w:val="Standard"/>
        <w:spacing w:line="360" w:lineRule="auto"/>
        <w:jc w:val="center"/>
        <w:rPr>
          <w:b/>
        </w:rPr>
      </w:pPr>
      <w:r>
        <w:rPr>
          <w:b/>
        </w:rPr>
        <w:t>Β. Τροπολογία - Προσθήκη</w:t>
      </w:r>
    </w:p>
    <w:p w:rsidR="00BF0DEB" w:rsidRDefault="004D5B5C">
      <w:pPr>
        <w:pStyle w:val="Standard"/>
        <w:spacing w:line="360" w:lineRule="auto"/>
      </w:pPr>
      <w:r>
        <w:t>α) Οι παράγραφοι 11, 12, 13, 14, 15 και 16 του άρθρου 3 του παρόντος καταργούνται.</w:t>
      </w:r>
    </w:p>
    <w:p w:rsidR="00BF0DEB" w:rsidRDefault="004D5B5C">
      <w:pPr>
        <w:pStyle w:val="Standard"/>
        <w:spacing w:line="360" w:lineRule="auto"/>
      </w:pPr>
      <w:r>
        <w:t xml:space="preserve">β) Οι διατάξεις του άρθρου 187Α </w:t>
      </w:r>
      <w:r>
        <w:t>του ισχύοντος Ποινικού Κώδικα καταργούνται.</w:t>
      </w:r>
    </w:p>
    <w:p w:rsidR="00BF0DEB" w:rsidRDefault="004D5B5C">
      <w:pPr>
        <w:pStyle w:val="Standard"/>
        <w:spacing w:line="360" w:lineRule="auto"/>
        <w:jc w:val="both"/>
      </w:pPr>
      <w:r>
        <w:rPr>
          <w:noProof/>
          <w:lang w:eastAsia="el-GR"/>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margin">
                  <wp:align>top</wp:align>
                </wp:positionV>
                <wp:extent cx="8191440" cy="14760"/>
                <wp:effectExtent l="0" t="0" r="0" b="0"/>
                <wp:wrapSquare wrapText="right"/>
                <wp:docPr id="2" name="Πλαίσιο1"/>
                <wp:cNvGraphicFramePr/>
                <a:graphic xmlns:a="http://schemas.openxmlformats.org/drawingml/2006/main">
                  <a:graphicData uri="http://schemas.microsoft.com/office/word/2010/wordprocessingShape">
                    <wps:wsp>
                      <wps:cNvSpPr txBox="1"/>
                      <wps:spPr>
                        <a:xfrm>
                          <a:off x="0" y="0"/>
                          <a:ext cx="8191440" cy="14760"/>
                        </a:xfrm>
                        <a:prstGeom prst="rect">
                          <a:avLst/>
                        </a:prstGeom>
                        <a:ln>
                          <a:noFill/>
                          <a:prstDash/>
                        </a:ln>
                      </wps:spPr>
                      <wps:txbx>
                        <w:txbxContent>
                          <w:p w:rsidR="00BF0DEB" w:rsidRDefault="00BF0DEB">
                            <w:pPr>
                              <w:pStyle w:val="Textbody"/>
                              <w:rPr>
                                <w:rFonts w:ascii="Roboto, sans-serif" w:hAnsi="Roboto, sans-serif" w:hint="eastAsia"/>
                                <w:color w:val="333333"/>
                                <w:sz w:val="27"/>
                              </w:rPr>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left:0;text-align:left;margin-left:0;margin-top:0;width:645pt;height:1.15pt;z-index:251659264;visibility:visible;mso-wrap-style:non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" filled="f" stroked="f">
                <v:textbox style="mso-fit-shape-to-text:t" inset="0,0,0,0">
                  <w:txbxContent>
                    <w:p w:rsidR="00BF0DEB" w:rsidRDefault="00BF0DEB">
                      <w:pPr>
                        <w:pStyle w:val="Textbody"/>
                        <w:rPr>
                          <w:rFonts w:ascii="Roboto, sans-serif" w:hAnsi="Roboto, sans-serif" w:hint="eastAsia"/>
                          <w:color w:val="333333"/>
                          <w:sz w:val="27"/>
                        </w:rPr>
                      </w:pPr>
                    </w:p>
                  </w:txbxContent>
                </v:textbox>
                <w10:wrap type="square" side="right" anchory="margin"/>
              </v:shape>
            </w:pict>
          </mc:Fallback>
        </mc:AlternateContent>
      </w:r>
      <w:r>
        <w:rPr>
          <w:noProof/>
          <w:lang w:eastAsia="el-GR"/>
        </w:rPr>
        <mc:AlternateContent>
          <mc:Choice Requires="wps">
            <w:drawing>
              <wp:anchor distT="0" distB="0" distL="114300" distR="114300" simplePos="0" relativeHeight="2" behindDoc="0" locked="0" layoutInCell="1" allowOverlap="1">
                <wp:simplePos x="0" y="0"/>
                <wp:positionH relativeFrom="column">
                  <wp:align>left</wp:align>
                </wp:positionH>
                <wp:positionV relativeFrom="margin">
                  <wp:align>top</wp:align>
                </wp:positionV>
                <wp:extent cx="8191440" cy="14760"/>
                <wp:effectExtent l="0" t="0" r="0" b="0"/>
                <wp:wrapSquare wrapText="right"/>
                <wp:docPr id="3" name="Πλαίσιο2"/>
                <wp:cNvGraphicFramePr/>
                <a:graphic xmlns:a="http://schemas.openxmlformats.org/drawingml/2006/main">
                  <a:graphicData uri="http://schemas.microsoft.com/office/word/2010/wordprocessingShape">
                    <wps:wsp>
                      <wps:cNvSpPr txBox="1"/>
                      <wps:spPr>
                        <a:xfrm>
                          <a:off x="0" y="0"/>
                          <a:ext cx="8191440" cy="14760"/>
                        </a:xfrm>
                        <a:prstGeom prst="rect">
                          <a:avLst/>
                        </a:prstGeom>
                        <a:ln>
                          <a:noFill/>
                          <a:prstDash/>
                        </a:ln>
                      </wps:spPr>
                      <wps:txbx>
                        <w:txbxContent>
                          <w:p w:rsidR="00BF0DEB" w:rsidRDefault="00BF0DEB">
                            <w:pPr>
                              <w:pStyle w:val="Textbody"/>
                              <w:rPr>
                                <w:rFonts w:ascii="Roboto, sans-serif" w:hAnsi="Roboto, sans-serif" w:hint="eastAsia"/>
                                <w:color w:val="333333"/>
                                <w:sz w:val="27"/>
                              </w:rPr>
                            </w:pPr>
                          </w:p>
                        </w:txbxContent>
                      </wps:txbx>
                      <wps:bodyPr vert="horz" wrap="none" lIns="0" tIns="0" rIns="0" bIns="0" compatLnSpc="0">
                        <a:spAutoFit/>
                      </wps:bodyPr>
                    </wps:wsp>
                  </a:graphicData>
                </a:graphic>
              </wp:anchor>
            </w:drawing>
          </mc:Choice>
          <mc:Fallback>
            <w:pict>
              <v:shape id="Πλαίσιο2" o:spid="_x0000_s1027" type="#_x0000_t202" style="position:absolute;left:0;text-align:left;margin-left:0;margin-top:0;width:645pt;height:1.15pt;z-index:2;visibility:visible;mso-wrap-style:non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" filled="f" stroked="f">
                <v:textbox style="mso-fit-shape-to-text:t" inset="0,0,0,0">
                  <w:txbxContent>
                    <w:p w:rsidR="00BF0DEB" w:rsidRDefault="00BF0DEB">
                      <w:pPr>
                        <w:pStyle w:val="Textbody"/>
                        <w:rPr>
                          <w:rFonts w:ascii="Roboto, sans-serif" w:hAnsi="Roboto, sans-serif" w:hint="eastAsia"/>
                          <w:color w:val="333333"/>
                          <w:sz w:val="27"/>
                        </w:rPr>
                      </w:pPr>
                    </w:p>
                  </w:txbxContent>
                </v:textbox>
                <w10:wrap type="square" side="right" anchory="margin"/>
              </v:shape>
            </w:pict>
          </mc:Fallback>
        </mc:AlternateContent>
      </w:r>
    </w:p>
    <w:p w:rsidR="00BF0DEB" w:rsidRDefault="004D5B5C">
      <w:pPr>
        <w:pStyle w:val="Standard"/>
        <w:spacing w:line="360" w:lineRule="auto"/>
        <w:jc w:val="right"/>
      </w:pPr>
      <w:r>
        <w:t>Αθήνα, 13 Νοεμβρίου 2019</w:t>
      </w:r>
    </w:p>
    <w:p w:rsidR="00BF0DEB" w:rsidRDefault="00BF0DEB">
      <w:pPr>
        <w:pStyle w:val="Standard"/>
        <w:spacing w:line="360" w:lineRule="auto"/>
        <w:jc w:val="right"/>
      </w:pPr>
    </w:p>
    <w:p w:rsidR="00BF0DEB" w:rsidRDefault="004D5B5C">
      <w:pPr>
        <w:pStyle w:val="Standard"/>
        <w:spacing w:line="360" w:lineRule="auto"/>
        <w:jc w:val="right"/>
      </w:pPr>
      <w:r>
        <w:t>ΟΙ ΠΡΟΤΕΙΝΟΝΤΕΣ ΒΟΥΛΕΥΤΕΣ</w:t>
      </w:r>
    </w:p>
    <w:p w:rsidR="004D5B5C" w:rsidRDefault="004D5B5C">
      <w:pPr>
        <w:pStyle w:val="Standard"/>
        <w:spacing w:line="360" w:lineRule="auto"/>
        <w:jc w:val="right"/>
      </w:pPr>
    </w:p>
    <w:p w:rsidR="004D5B5C" w:rsidRDefault="004D5B5C">
      <w:pPr>
        <w:pStyle w:val="Standard"/>
        <w:spacing w:line="360" w:lineRule="auto"/>
        <w:jc w:val="right"/>
      </w:pPr>
      <w:r>
        <w:t>Μαρία Απατζίδη</w:t>
      </w:r>
    </w:p>
    <w:p w:rsidR="004D5B5C" w:rsidRDefault="004D5B5C">
      <w:pPr>
        <w:pStyle w:val="Standard"/>
        <w:spacing w:line="360" w:lineRule="auto"/>
        <w:jc w:val="right"/>
      </w:pPr>
      <w:r>
        <w:t>Φωτεινή Μπακαδήμα</w:t>
      </w:r>
      <w:bookmarkStart w:id="0" w:name="_GoBack"/>
      <w:bookmarkEnd w:id="0"/>
    </w:p>
    <w:sectPr w:rsidR="004D5B5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5B5C">
      <w:pPr>
        <w:spacing w:after="0" w:line="240" w:lineRule="auto"/>
      </w:pPr>
      <w:r>
        <w:separator/>
      </w:r>
    </w:p>
  </w:endnote>
  <w:endnote w:type="continuationSeparator" w:id="0">
    <w:p w:rsidR="00000000" w:rsidRDefault="004D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Roboto, sans-serif">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5B5C">
      <w:pPr>
        <w:spacing w:after="0" w:line="240" w:lineRule="auto"/>
      </w:pPr>
      <w:r>
        <w:rPr>
          <w:color w:val="000000"/>
        </w:rPr>
        <w:separator/>
      </w:r>
    </w:p>
  </w:footnote>
  <w:footnote w:type="continuationSeparator" w:id="0">
    <w:p w:rsidR="00000000" w:rsidRDefault="004D5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F0DEB"/>
    <w:rsid w:val="004D5B5C"/>
    <w:rsid w:val="00571F99"/>
    <w:rsid w:val="0087119D"/>
    <w:rsid w:val="00BF0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525DF3-74F7-4539-8E63-C184964F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l-G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Balloon Text"/>
    <w:basedOn w:val="Standard"/>
    <w:pPr>
      <w:spacing w:after="0" w:line="240" w:lineRule="auto"/>
    </w:pPr>
    <w:rPr>
      <w:rFonts w:ascii="Segoe UI" w:hAnsi="Segoe UI" w:cs="Segoe UI"/>
      <w:sz w:val="18"/>
      <w:szCs w:val="18"/>
    </w:rPr>
  </w:style>
  <w:style w:type="paragraph" w:customStyle="1" w:styleId="Framecontents">
    <w:name w:val="Frame contents"/>
    <w:basedOn w:val="Textbody"/>
  </w:style>
  <w:style w:type="character" w:customStyle="1" w:styleId="Char">
    <w:name w:val="Κείμενο πλαισίου Char"/>
    <w:basedOn w:val="a0"/>
    <w:rPr>
      <w:rFonts w:ascii="Segoe UI" w:hAnsi="Segoe UI" w:cs="Segoe UI"/>
      <w:sz w:val="18"/>
      <w:szCs w:val="18"/>
    </w:r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2210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Σμυρλής Αλέξιος</dc:creator>
  <cp:lastModifiedBy>Φεγγούλη Ασπασία</cp:lastModifiedBy>
  <cp:revision>3</cp:revision>
  <cp:lastPrinted>2019-11-13T17:49:00Z</cp:lastPrinted>
  <dcterms:created xsi:type="dcterms:W3CDTF">2019-11-13T18:00:00Z</dcterms:created>
  <dcterms:modified xsi:type="dcterms:W3CDTF">2019-11-13T18:01:00Z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